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ED7E" w14:textId="77777777" w:rsidR="00EB18B7" w:rsidRDefault="00EB18B7" w:rsidP="00870F86">
      <w:pPr>
        <w:spacing w:after="0" w:line="240" w:lineRule="atLeast"/>
        <w:jc w:val="center"/>
        <w:rPr>
          <w:rFonts w:ascii="Arial" w:hAnsi="Arial" w:cs="Arial"/>
          <w:b/>
          <w:bCs/>
          <w:sz w:val="28"/>
          <w:szCs w:val="28"/>
        </w:rPr>
      </w:pPr>
      <w:bookmarkStart w:id="0" w:name="_Hlk86434705"/>
    </w:p>
    <w:p w14:paraId="6F1ACC8D" w14:textId="7F36E6B7" w:rsidR="00870F86" w:rsidRPr="00A17261" w:rsidRDefault="00870F86" w:rsidP="00870F86">
      <w:pPr>
        <w:spacing w:after="0" w:line="240" w:lineRule="atLeast"/>
        <w:jc w:val="center"/>
        <w:rPr>
          <w:rFonts w:ascii="Arial" w:hAnsi="Arial" w:cs="Arial"/>
          <w:b/>
          <w:bCs/>
          <w:sz w:val="28"/>
          <w:szCs w:val="28"/>
        </w:rPr>
      </w:pPr>
      <w:r>
        <w:rPr>
          <w:rFonts w:ascii="Arial" w:hAnsi="Arial" w:cs="Arial"/>
          <w:b/>
          <w:bCs/>
          <w:sz w:val="28"/>
          <w:szCs w:val="28"/>
        </w:rPr>
        <w:t xml:space="preserve">YCCO </w:t>
      </w:r>
      <w:r w:rsidRPr="00A17261">
        <w:rPr>
          <w:rFonts w:ascii="Arial" w:hAnsi="Arial" w:cs="Arial"/>
          <w:b/>
          <w:bCs/>
          <w:sz w:val="28"/>
          <w:szCs w:val="28"/>
        </w:rPr>
        <w:t xml:space="preserve">Behavioral Health Transition Reminders </w:t>
      </w:r>
    </w:p>
    <w:p w14:paraId="46947472" w14:textId="73A381F1" w:rsidR="00DC56D2" w:rsidRPr="000C0BEB" w:rsidRDefault="007B4560" w:rsidP="000C0BEB">
      <w:pPr>
        <w:spacing w:after="0" w:line="240" w:lineRule="atLeast"/>
        <w:jc w:val="center"/>
        <w:rPr>
          <w:rFonts w:ascii="Arial" w:hAnsi="Arial" w:cs="Arial"/>
          <w:b/>
          <w:bCs/>
          <w:color w:val="FF0000"/>
          <w:sz w:val="28"/>
          <w:szCs w:val="28"/>
        </w:rPr>
      </w:pPr>
      <w:r w:rsidRPr="000C0BEB">
        <w:rPr>
          <w:rFonts w:ascii="Arial" w:hAnsi="Arial" w:cs="Arial"/>
          <w:b/>
          <w:bCs/>
          <w:sz w:val="28"/>
          <w:szCs w:val="28"/>
        </w:rPr>
        <w:t>YCCO</w:t>
      </w:r>
      <w:r w:rsidR="002D339D" w:rsidRPr="000C0BEB">
        <w:rPr>
          <w:rFonts w:ascii="Arial" w:hAnsi="Arial" w:cs="Arial"/>
          <w:b/>
          <w:bCs/>
          <w:sz w:val="28"/>
          <w:szCs w:val="28"/>
        </w:rPr>
        <w:t xml:space="preserve"> Pr</w:t>
      </w:r>
      <w:r w:rsidR="00003F1F">
        <w:rPr>
          <w:rFonts w:ascii="Arial" w:hAnsi="Arial" w:cs="Arial"/>
          <w:b/>
          <w:bCs/>
          <w:sz w:val="28"/>
          <w:szCs w:val="28"/>
        </w:rPr>
        <w:t>ior A</w:t>
      </w:r>
      <w:r w:rsidR="002D339D" w:rsidRPr="000C0BEB">
        <w:rPr>
          <w:rFonts w:ascii="Arial" w:hAnsi="Arial" w:cs="Arial"/>
          <w:b/>
          <w:bCs/>
          <w:sz w:val="28"/>
          <w:szCs w:val="28"/>
        </w:rPr>
        <w:t>uthorization/Medical Necessity Review of Services</w:t>
      </w:r>
    </w:p>
    <w:p w14:paraId="680BD450" w14:textId="28DCEA6A" w:rsidR="002D339D" w:rsidRPr="000C0BEB" w:rsidRDefault="002D339D" w:rsidP="000C0BEB">
      <w:pPr>
        <w:spacing w:after="0" w:line="240" w:lineRule="atLeast"/>
        <w:rPr>
          <w:rFonts w:ascii="Arial" w:hAnsi="Arial" w:cs="Arial"/>
          <w:sz w:val="24"/>
          <w:szCs w:val="24"/>
        </w:rPr>
      </w:pPr>
    </w:p>
    <w:p w14:paraId="1F487474" w14:textId="52045DF4" w:rsidR="007B4560" w:rsidRPr="000C0BEB" w:rsidRDefault="00684C55" w:rsidP="007B4560">
      <w:pPr>
        <w:spacing w:after="0" w:line="240" w:lineRule="atLeast"/>
        <w:rPr>
          <w:rFonts w:ascii="Arial" w:hAnsi="Arial" w:cs="Arial"/>
          <w:b/>
          <w:bCs/>
          <w:sz w:val="24"/>
          <w:szCs w:val="24"/>
        </w:rPr>
      </w:pPr>
      <w:r w:rsidRPr="000C0BEB">
        <w:rPr>
          <w:rFonts w:ascii="Arial" w:hAnsi="Arial" w:cs="Arial"/>
          <w:b/>
          <w:bCs/>
          <w:sz w:val="24"/>
          <w:szCs w:val="24"/>
        </w:rPr>
        <w:t xml:space="preserve">Behavioral Health Transition </w:t>
      </w:r>
      <w:r w:rsidR="007B4560" w:rsidRPr="000C0BEB">
        <w:rPr>
          <w:rFonts w:ascii="Arial" w:hAnsi="Arial" w:cs="Arial"/>
          <w:b/>
          <w:bCs/>
          <w:sz w:val="24"/>
          <w:szCs w:val="24"/>
        </w:rPr>
        <w:t>Reminders:</w:t>
      </w:r>
    </w:p>
    <w:p w14:paraId="6DD4F7A6" w14:textId="77777777" w:rsidR="00684C55" w:rsidRPr="000C0BEB" w:rsidRDefault="00684C55" w:rsidP="000C0BEB">
      <w:pPr>
        <w:pStyle w:val="paragraph"/>
        <w:numPr>
          <w:ilvl w:val="0"/>
          <w:numId w:val="4"/>
        </w:numPr>
        <w:spacing w:before="0" w:beforeAutospacing="0" w:after="0" w:afterAutospacing="0"/>
        <w:textAlignment w:val="baseline"/>
        <w:rPr>
          <w:rFonts w:ascii="Arial" w:hAnsi="Arial" w:cs="Arial"/>
        </w:rPr>
      </w:pPr>
      <w:r w:rsidRPr="000C0BEB">
        <w:rPr>
          <w:rStyle w:val="normaltextrun"/>
          <w:rFonts w:ascii="Arial" w:hAnsi="Arial" w:cs="Arial"/>
          <w:color w:val="000000"/>
          <w:u w:val="single"/>
        </w:rPr>
        <w:t>Contracting</w:t>
      </w:r>
      <w:r w:rsidRPr="000C0BEB">
        <w:rPr>
          <w:rStyle w:val="normaltextrun"/>
          <w:rFonts w:ascii="Arial" w:hAnsi="Arial" w:cs="Arial"/>
          <w:color w:val="000000"/>
        </w:rPr>
        <w:t>: YCCO, in partnership with PPP, will be transitioning from using Single Case Agreements to more traditional Provider contracts. This change will allow contracted outpatient Providers to avoid having to submit clinical documentation for prior authorization of most outpatient services. </w:t>
      </w:r>
      <w:r w:rsidRPr="000C0BEB">
        <w:rPr>
          <w:rStyle w:val="eop"/>
          <w:rFonts w:ascii="Arial" w:hAnsi="Arial" w:cs="Arial"/>
          <w:color w:val="000000"/>
        </w:rPr>
        <w:t> </w:t>
      </w:r>
    </w:p>
    <w:p w14:paraId="1E2D894D" w14:textId="77777777" w:rsidR="00684C55" w:rsidRPr="000C0BEB" w:rsidRDefault="00684C55" w:rsidP="000C0BEB">
      <w:pPr>
        <w:pStyle w:val="paragraph"/>
        <w:numPr>
          <w:ilvl w:val="0"/>
          <w:numId w:val="4"/>
        </w:numPr>
        <w:spacing w:before="0" w:beforeAutospacing="0" w:after="0" w:afterAutospacing="0"/>
        <w:textAlignment w:val="baseline"/>
        <w:rPr>
          <w:rFonts w:ascii="Arial" w:hAnsi="Arial" w:cs="Arial"/>
        </w:rPr>
      </w:pPr>
      <w:r w:rsidRPr="000C0BEB">
        <w:rPr>
          <w:rStyle w:val="normaltextrun"/>
          <w:rFonts w:ascii="Arial" w:hAnsi="Arial" w:cs="Arial"/>
          <w:color w:val="000000"/>
          <w:u w:val="single"/>
        </w:rPr>
        <w:t>Credentialing and Recredentialing</w:t>
      </w:r>
      <w:r w:rsidRPr="000C0BEB">
        <w:rPr>
          <w:rStyle w:val="normaltextrun"/>
          <w:rFonts w:ascii="Arial" w:hAnsi="Arial" w:cs="Arial"/>
          <w:color w:val="000000"/>
        </w:rPr>
        <w:t>: The overall process will remain the same, with PPP taking over responsibility for these activities. </w:t>
      </w:r>
      <w:r w:rsidRPr="000C0BEB">
        <w:rPr>
          <w:rStyle w:val="eop"/>
          <w:rFonts w:ascii="Arial" w:hAnsi="Arial" w:cs="Arial"/>
          <w:color w:val="000000"/>
        </w:rPr>
        <w:t> </w:t>
      </w:r>
    </w:p>
    <w:p w14:paraId="53F91B53" w14:textId="77777777" w:rsidR="00684C55" w:rsidRPr="000C0BEB" w:rsidRDefault="00684C55" w:rsidP="000C0BEB">
      <w:pPr>
        <w:pStyle w:val="paragraph"/>
        <w:numPr>
          <w:ilvl w:val="0"/>
          <w:numId w:val="4"/>
        </w:numPr>
        <w:spacing w:before="0" w:beforeAutospacing="0" w:after="0" w:afterAutospacing="0"/>
        <w:textAlignment w:val="baseline"/>
        <w:rPr>
          <w:rFonts w:ascii="Arial" w:hAnsi="Arial" w:cs="Arial"/>
        </w:rPr>
      </w:pPr>
      <w:r w:rsidRPr="000C0BEB">
        <w:rPr>
          <w:rStyle w:val="normaltextrun"/>
          <w:rFonts w:ascii="Arial" w:hAnsi="Arial" w:cs="Arial"/>
          <w:color w:val="000000"/>
          <w:u w:val="single"/>
        </w:rPr>
        <w:t>Utilization Management</w:t>
      </w:r>
      <w:r w:rsidRPr="000C0BEB">
        <w:rPr>
          <w:rStyle w:val="normaltextrun"/>
          <w:rFonts w:ascii="Arial" w:hAnsi="Arial" w:cs="Arial"/>
          <w:color w:val="000000"/>
        </w:rPr>
        <w:t>: The overall process will remain the same, with PPP taking over responsibility for these activities. For many contracted providers, services that do not require prior authorization will be “auto authorized” within the CIM system by the provider. Non-contracted providers will still need to obtain prior authorizations and submit the necessary clinical documentation for review by the Utilization Management team. All prior authorizations established before January 1, 2022, that extend into the new year, will be honored in order to support continuity of care for our members.</w:t>
      </w:r>
      <w:r w:rsidRPr="000C0BEB">
        <w:rPr>
          <w:rStyle w:val="eop"/>
          <w:rFonts w:ascii="Arial" w:hAnsi="Arial" w:cs="Arial"/>
          <w:color w:val="000000"/>
        </w:rPr>
        <w:t> </w:t>
      </w:r>
    </w:p>
    <w:p w14:paraId="169A1C84" w14:textId="77777777" w:rsidR="00684C55" w:rsidRPr="000C0BEB" w:rsidRDefault="00684C55" w:rsidP="000C0BEB">
      <w:pPr>
        <w:pStyle w:val="paragraph"/>
        <w:numPr>
          <w:ilvl w:val="0"/>
          <w:numId w:val="4"/>
        </w:numPr>
        <w:spacing w:before="0" w:beforeAutospacing="0" w:after="0" w:afterAutospacing="0"/>
        <w:textAlignment w:val="baseline"/>
        <w:rPr>
          <w:rFonts w:ascii="Arial" w:hAnsi="Arial" w:cs="Arial"/>
        </w:rPr>
      </w:pPr>
      <w:r w:rsidRPr="000C0BEB">
        <w:rPr>
          <w:rStyle w:val="normaltextrun"/>
          <w:rFonts w:ascii="Arial" w:hAnsi="Arial" w:cs="Arial"/>
          <w:color w:val="000000"/>
          <w:u w:val="single"/>
        </w:rPr>
        <w:t>Care Management</w:t>
      </w:r>
      <w:r w:rsidRPr="000C0BEB">
        <w:rPr>
          <w:rStyle w:val="normaltextrun"/>
          <w:rFonts w:ascii="Arial" w:hAnsi="Arial" w:cs="Arial"/>
          <w:color w:val="000000"/>
        </w:rPr>
        <w:t> (Not to be confused with the treatment services of case management and care coordination): Care Management provides support to help members with complex needs to connect directly to necessary services. PPP has been providing Care Management services for YCCO for the past three (3) years and this new process will allow for increased access to integrated Care Management services to improve member health.</w:t>
      </w:r>
      <w:r w:rsidRPr="000C0BEB">
        <w:rPr>
          <w:rStyle w:val="eop"/>
          <w:rFonts w:ascii="Arial" w:hAnsi="Arial" w:cs="Arial"/>
          <w:color w:val="000000"/>
        </w:rPr>
        <w:t> </w:t>
      </w:r>
    </w:p>
    <w:p w14:paraId="3144B3DE" w14:textId="553C3833" w:rsidR="00684C55" w:rsidRDefault="00684C55" w:rsidP="000C0BEB">
      <w:pPr>
        <w:pStyle w:val="paragraph"/>
        <w:numPr>
          <w:ilvl w:val="0"/>
          <w:numId w:val="4"/>
        </w:numPr>
        <w:spacing w:before="0" w:beforeAutospacing="0" w:after="0" w:afterAutospacing="0"/>
        <w:textAlignment w:val="baseline"/>
        <w:rPr>
          <w:rStyle w:val="eop"/>
          <w:rFonts w:ascii="Arial" w:hAnsi="Arial" w:cs="Arial"/>
          <w:color w:val="000000"/>
        </w:rPr>
      </w:pPr>
      <w:r w:rsidRPr="000C0BEB">
        <w:rPr>
          <w:rStyle w:val="normaltextrun"/>
          <w:rFonts w:ascii="Arial" w:hAnsi="Arial" w:cs="Arial"/>
          <w:color w:val="000000"/>
          <w:u w:val="single"/>
        </w:rPr>
        <w:t>Customer Service</w:t>
      </w:r>
      <w:r w:rsidRPr="000C0BEB">
        <w:rPr>
          <w:rStyle w:val="normaltextrun"/>
          <w:rFonts w:ascii="Arial" w:hAnsi="Arial" w:cs="Arial"/>
          <w:color w:val="000000"/>
        </w:rPr>
        <w:t>: All customer service telephone support for both behavioral health and physical health services will be integrated into a single contact number to simplify member and Provider support.</w:t>
      </w:r>
      <w:r w:rsidRPr="000C0BEB">
        <w:rPr>
          <w:rStyle w:val="eop"/>
          <w:rFonts w:ascii="Arial" w:hAnsi="Arial" w:cs="Arial"/>
          <w:color w:val="000000"/>
        </w:rPr>
        <w:t> </w:t>
      </w:r>
    </w:p>
    <w:p w14:paraId="113F0977" w14:textId="77777777" w:rsidR="00870F86" w:rsidRDefault="00870F86" w:rsidP="00684C55">
      <w:pPr>
        <w:pStyle w:val="paragraph"/>
        <w:spacing w:before="0" w:beforeAutospacing="0" w:after="0" w:afterAutospacing="0"/>
        <w:textAlignment w:val="baseline"/>
        <w:rPr>
          <w:rStyle w:val="eop"/>
          <w:rFonts w:ascii="Arial" w:hAnsi="Arial" w:cs="Arial"/>
          <w:color w:val="000000"/>
        </w:rPr>
      </w:pPr>
    </w:p>
    <w:p w14:paraId="0244EB6D" w14:textId="64FBBE7A" w:rsidR="00684C55" w:rsidRDefault="00684C55" w:rsidP="00684C55">
      <w:pPr>
        <w:pStyle w:val="paragraph"/>
        <w:spacing w:before="0" w:beforeAutospacing="0" w:after="0" w:afterAutospacing="0"/>
        <w:textAlignment w:val="baseline"/>
        <w:rPr>
          <w:rStyle w:val="eop"/>
          <w:rFonts w:ascii="Arial" w:hAnsi="Arial" w:cs="Arial"/>
          <w:color w:val="000000"/>
        </w:rPr>
      </w:pPr>
      <w:r>
        <w:rPr>
          <w:rStyle w:val="eop"/>
          <w:rFonts w:ascii="Arial" w:hAnsi="Arial" w:cs="Arial"/>
          <w:color w:val="000000"/>
        </w:rPr>
        <w:t>The</w:t>
      </w:r>
      <w:r w:rsidR="00870F86">
        <w:rPr>
          <w:rStyle w:val="eop"/>
          <w:rFonts w:ascii="Arial" w:hAnsi="Arial" w:cs="Arial"/>
          <w:color w:val="000000"/>
        </w:rPr>
        <w:t xml:space="preserve"> BH Transition</w:t>
      </w:r>
      <w:r>
        <w:rPr>
          <w:rStyle w:val="eop"/>
          <w:rFonts w:ascii="Arial" w:hAnsi="Arial" w:cs="Arial"/>
          <w:color w:val="000000"/>
        </w:rPr>
        <w:t xml:space="preserve"> FAQ is available via CIM or on the YCCO Website here </w:t>
      </w:r>
      <w:hyperlink r:id="rId7" w:history="1">
        <w:r w:rsidR="003262BF" w:rsidRPr="009C7501">
          <w:rPr>
            <w:rStyle w:val="Hyperlink"/>
            <w:rFonts w:ascii="Arial" w:hAnsi="Arial" w:cs="Arial"/>
          </w:rPr>
          <w:t>https://yamhillcco.org/wp-content/uploads/BH-Provider-FAQ-with-YCCO-contract_10.08.21.pdf</w:t>
        </w:r>
      </w:hyperlink>
    </w:p>
    <w:p w14:paraId="22C4FFFB" w14:textId="77777777" w:rsidR="003262BF" w:rsidRPr="000C0BEB" w:rsidRDefault="003262BF" w:rsidP="000C0BEB">
      <w:pPr>
        <w:pStyle w:val="paragraph"/>
        <w:spacing w:before="0" w:beforeAutospacing="0" w:after="0" w:afterAutospacing="0"/>
        <w:textAlignment w:val="baseline"/>
        <w:rPr>
          <w:rFonts w:ascii="Arial" w:hAnsi="Arial" w:cs="Arial"/>
        </w:rPr>
      </w:pPr>
    </w:p>
    <w:p w14:paraId="0C953F19" w14:textId="4C155D0C" w:rsidR="00684C55" w:rsidRDefault="00684C55" w:rsidP="007B4560">
      <w:pPr>
        <w:spacing w:after="0" w:line="240" w:lineRule="atLeast"/>
        <w:rPr>
          <w:rFonts w:ascii="Arial" w:hAnsi="Arial" w:cs="Arial"/>
          <w:sz w:val="24"/>
          <w:szCs w:val="24"/>
        </w:rPr>
      </w:pPr>
    </w:p>
    <w:p w14:paraId="61A72C0B" w14:textId="65710803" w:rsidR="003262BF" w:rsidRPr="000C0BEB" w:rsidRDefault="007B4560" w:rsidP="007B4560">
      <w:pPr>
        <w:spacing w:after="0" w:line="240" w:lineRule="atLeast"/>
        <w:rPr>
          <w:rFonts w:ascii="Arial" w:hAnsi="Arial" w:cs="Arial"/>
          <w:b/>
          <w:bCs/>
          <w:sz w:val="24"/>
          <w:szCs w:val="24"/>
        </w:rPr>
      </w:pPr>
      <w:r w:rsidRPr="000C0BEB">
        <w:rPr>
          <w:rFonts w:ascii="Arial" w:hAnsi="Arial" w:cs="Arial"/>
          <w:b/>
          <w:bCs/>
          <w:sz w:val="24"/>
          <w:szCs w:val="24"/>
        </w:rPr>
        <w:t>Pr</w:t>
      </w:r>
      <w:r w:rsidR="00003F1F" w:rsidRPr="000C0BEB">
        <w:rPr>
          <w:rFonts w:ascii="Arial" w:hAnsi="Arial" w:cs="Arial"/>
          <w:b/>
          <w:bCs/>
          <w:sz w:val="24"/>
          <w:szCs w:val="24"/>
        </w:rPr>
        <w:t>ior A</w:t>
      </w:r>
      <w:r w:rsidRPr="000C0BEB">
        <w:rPr>
          <w:rFonts w:ascii="Arial" w:hAnsi="Arial" w:cs="Arial"/>
          <w:b/>
          <w:bCs/>
          <w:sz w:val="24"/>
          <w:szCs w:val="24"/>
        </w:rPr>
        <w:t>uthorization</w:t>
      </w:r>
      <w:r w:rsidR="003262BF" w:rsidRPr="000C0BEB">
        <w:rPr>
          <w:rFonts w:ascii="Arial" w:hAnsi="Arial" w:cs="Arial"/>
          <w:b/>
          <w:bCs/>
          <w:sz w:val="24"/>
          <w:szCs w:val="24"/>
        </w:rPr>
        <w:t>/Medical Necessity Overview:</w:t>
      </w:r>
    </w:p>
    <w:p w14:paraId="531AC2A7" w14:textId="685CB876" w:rsidR="002D339D" w:rsidRPr="000C0BEB" w:rsidRDefault="003262BF" w:rsidP="000C0BEB">
      <w:pPr>
        <w:spacing w:after="0" w:line="240" w:lineRule="atLeast"/>
        <w:rPr>
          <w:rFonts w:ascii="Arial" w:hAnsi="Arial" w:cs="Arial"/>
          <w:sz w:val="24"/>
          <w:szCs w:val="24"/>
        </w:rPr>
      </w:pPr>
      <w:r>
        <w:rPr>
          <w:rFonts w:ascii="Arial" w:hAnsi="Arial" w:cs="Arial"/>
          <w:sz w:val="24"/>
          <w:szCs w:val="24"/>
        </w:rPr>
        <w:t>Applicable</w:t>
      </w:r>
      <w:r w:rsidR="002D339D" w:rsidRPr="000C0BEB">
        <w:rPr>
          <w:rFonts w:ascii="Arial" w:hAnsi="Arial" w:cs="Arial"/>
          <w:sz w:val="24"/>
          <w:szCs w:val="24"/>
        </w:rPr>
        <w:t xml:space="preserve"> to YCCO </w:t>
      </w:r>
      <w:r w:rsidR="00870F86">
        <w:rPr>
          <w:rFonts w:ascii="Arial" w:hAnsi="Arial" w:cs="Arial"/>
          <w:sz w:val="24"/>
          <w:szCs w:val="24"/>
        </w:rPr>
        <w:t xml:space="preserve">participating </w:t>
      </w:r>
      <w:r w:rsidR="002D339D" w:rsidRPr="000C0BEB">
        <w:rPr>
          <w:rFonts w:ascii="Arial" w:hAnsi="Arial" w:cs="Arial"/>
          <w:sz w:val="24"/>
          <w:szCs w:val="24"/>
        </w:rPr>
        <w:t xml:space="preserve">providers. </w:t>
      </w:r>
      <w:r>
        <w:rPr>
          <w:rFonts w:ascii="Arial" w:hAnsi="Arial" w:cs="Arial"/>
          <w:sz w:val="24"/>
          <w:szCs w:val="24"/>
        </w:rPr>
        <w:t xml:space="preserve">The list below is </w:t>
      </w:r>
      <w:r w:rsidR="002D339D" w:rsidRPr="000C0BEB">
        <w:rPr>
          <w:rFonts w:ascii="Arial" w:hAnsi="Arial" w:cs="Arial"/>
          <w:sz w:val="24"/>
          <w:szCs w:val="24"/>
        </w:rPr>
        <w:t xml:space="preserve">an overview </w:t>
      </w:r>
      <w:r w:rsidR="00870F86">
        <w:rPr>
          <w:rFonts w:ascii="Arial" w:hAnsi="Arial" w:cs="Arial"/>
          <w:sz w:val="24"/>
          <w:szCs w:val="24"/>
        </w:rPr>
        <w:t xml:space="preserve">of services that require prior authorization/medical necessity review. </w:t>
      </w:r>
    </w:p>
    <w:p w14:paraId="46C1B9C9" w14:textId="77777777" w:rsidR="00EB18B7" w:rsidRDefault="00EB18B7" w:rsidP="007B4560">
      <w:pPr>
        <w:spacing w:after="0" w:line="240" w:lineRule="atLeast"/>
        <w:rPr>
          <w:rFonts w:ascii="Arial" w:hAnsi="Arial" w:cs="Arial"/>
          <w:sz w:val="24"/>
          <w:szCs w:val="24"/>
        </w:rPr>
      </w:pPr>
    </w:p>
    <w:p w14:paraId="1C8E9379" w14:textId="1775C372" w:rsidR="002D339D" w:rsidRPr="000C0BEB" w:rsidRDefault="002D339D" w:rsidP="000C0BEB">
      <w:pPr>
        <w:spacing w:after="0" w:line="240" w:lineRule="atLeast"/>
        <w:rPr>
          <w:rFonts w:ascii="Arial" w:hAnsi="Arial" w:cs="Arial"/>
          <w:sz w:val="24"/>
          <w:szCs w:val="24"/>
        </w:rPr>
      </w:pPr>
      <w:r w:rsidRPr="000C0BEB">
        <w:rPr>
          <w:rFonts w:ascii="Arial" w:hAnsi="Arial" w:cs="Arial"/>
          <w:sz w:val="24"/>
          <w:szCs w:val="24"/>
        </w:rPr>
        <w:t>Services that</w:t>
      </w:r>
      <w:r w:rsidR="00003F1F">
        <w:rPr>
          <w:rFonts w:ascii="Arial" w:hAnsi="Arial" w:cs="Arial"/>
          <w:sz w:val="24"/>
          <w:szCs w:val="24"/>
        </w:rPr>
        <w:t xml:space="preserve"> require</w:t>
      </w:r>
      <w:r w:rsidRPr="000C0BEB">
        <w:rPr>
          <w:rFonts w:ascii="Arial" w:hAnsi="Arial" w:cs="Arial"/>
          <w:sz w:val="24"/>
          <w:szCs w:val="24"/>
        </w:rPr>
        <w:t xml:space="preserve"> YCCO Utilization Management prior authorization/medical necessity review regardless of network status are:</w:t>
      </w:r>
    </w:p>
    <w:p w14:paraId="16EBF442" w14:textId="60C3D6F5" w:rsidR="002D339D" w:rsidRPr="000C0BEB" w:rsidRDefault="002D339D" w:rsidP="000C0BEB">
      <w:pPr>
        <w:pStyle w:val="ListParagraph"/>
        <w:numPr>
          <w:ilvl w:val="0"/>
          <w:numId w:val="1"/>
        </w:numPr>
        <w:spacing w:after="0" w:line="240" w:lineRule="atLeast"/>
        <w:rPr>
          <w:rFonts w:ascii="Arial" w:hAnsi="Arial" w:cs="Arial"/>
          <w:sz w:val="24"/>
          <w:szCs w:val="24"/>
        </w:rPr>
      </w:pPr>
      <w:r w:rsidRPr="000C0BEB">
        <w:rPr>
          <w:rFonts w:ascii="Arial" w:hAnsi="Arial" w:cs="Arial"/>
          <w:sz w:val="24"/>
          <w:szCs w:val="24"/>
        </w:rPr>
        <w:t>Any in-patient,</w:t>
      </w:r>
      <w:r w:rsidR="00023CC9" w:rsidRPr="000C0BEB">
        <w:rPr>
          <w:rFonts w:ascii="Arial" w:hAnsi="Arial" w:cs="Arial"/>
          <w:sz w:val="24"/>
          <w:szCs w:val="24"/>
        </w:rPr>
        <w:t xml:space="preserve"> sub-acute,</w:t>
      </w:r>
      <w:r w:rsidRPr="000C0BEB">
        <w:rPr>
          <w:rFonts w:ascii="Arial" w:hAnsi="Arial" w:cs="Arial"/>
          <w:sz w:val="24"/>
          <w:szCs w:val="24"/>
        </w:rPr>
        <w:t xml:space="preserve"> residential, or other facility-based </w:t>
      </w:r>
      <w:r w:rsidR="00023CC9" w:rsidRPr="000C0BEB">
        <w:rPr>
          <w:rFonts w:ascii="Arial" w:hAnsi="Arial" w:cs="Arial"/>
          <w:sz w:val="24"/>
          <w:szCs w:val="24"/>
        </w:rPr>
        <w:t>care</w:t>
      </w:r>
    </w:p>
    <w:p w14:paraId="545939FC" w14:textId="14525052" w:rsidR="002D339D" w:rsidRPr="000C0BEB" w:rsidRDefault="002D339D" w:rsidP="000C0BEB">
      <w:pPr>
        <w:pStyle w:val="ListParagraph"/>
        <w:numPr>
          <w:ilvl w:val="0"/>
          <w:numId w:val="1"/>
        </w:numPr>
        <w:spacing w:after="0" w:line="240" w:lineRule="atLeast"/>
        <w:rPr>
          <w:rFonts w:ascii="Arial" w:hAnsi="Arial" w:cs="Arial"/>
          <w:sz w:val="24"/>
          <w:szCs w:val="24"/>
        </w:rPr>
      </w:pPr>
      <w:r w:rsidRPr="000C0BEB">
        <w:rPr>
          <w:rFonts w:ascii="Arial" w:hAnsi="Arial" w:cs="Arial"/>
          <w:sz w:val="24"/>
          <w:szCs w:val="24"/>
        </w:rPr>
        <w:t>Partial Hospitalization Program (PHP)</w:t>
      </w:r>
      <w:r w:rsidR="000845E2">
        <w:rPr>
          <w:rFonts w:ascii="Arial" w:hAnsi="Arial" w:cs="Arial"/>
          <w:sz w:val="24"/>
          <w:szCs w:val="24"/>
        </w:rPr>
        <w:t>/Day Treatment Programs</w:t>
      </w:r>
    </w:p>
    <w:p w14:paraId="3BD5CBE6" w14:textId="6DB23E1C" w:rsidR="002D339D" w:rsidRPr="000C0BEB" w:rsidRDefault="002D339D" w:rsidP="000C0BEB">
      <w:pPr>
        <w:pStyle w:val="ListParagraph"/>
        <w:numPr>
          <w:ilvl w:val="0"/>
          <w:numId w:val="1"/>
        </w:numPr>
        <w:spacing w:after="0" w:line="240" w:lineRule="atLeast"/>
        <w:rPr>
          <w:rFonts w:ascii="Arial" w:hAnsi="Arial" w:cs="Arial"/>
          <w:sz w:val="24"/>
          <w:szCs w:val="24"/>
        </w:rPr>
      </w:pPr>
      <w:r w:rsidRPr="000C0BEB">
        <w:rPr>
          <w:rFonts w:ascii="Arial" w:hAnsi="Arial" w:cs="Arial"/>
          <w:sz w:val="24"/>
          <w:szCs w:val="24"/>
        </w:rPr>
        <w:t>Intensive Outpatient Program (IOP)</w:t>
      </w:r>
    </w:p>
    <w:p w14:paraId="6A05AA36" w14:textId="5DA52EB0" w:rsidR="002D339D" w:rsidRPr="000C0BEB" w:rsidRDefault="00971EF2" w:rsidP="000C0BEB">
      <w:pPr>
        <w:pStyle w:val="ListParagraph"/>
        <w:numPr>
          <w:ilvl w:val="0"/>
          <w:numId w:val="1"/>
        </w:numPr>
        <w:spacing w:after="0" w:line="240" w:lineRule="atLeast"/>
        <w:rPr>
          <w:rFonts w:ascii="Arial" w:hAnsi="Arial" w:cs="Arial"/>
          <w:sz w:val="24"/>
          <w:szCs w:val="24"/>
        </w:rPr>
      </w:pPr>
      <w:r w:rsidRPr="000C0BEB">
        <w:rPr>
          <w:rFonts w:ascii="Arial" w:hAnsi="Arial" w:cs="Arial"/>
          <w:sz w:val="24"/>
          <w:szCs w:val="24"/>
        </w:rPr>
        <w:t xml:space="preserve">Applied Behavioral Analysis (ABA) </w:t>
      </w:r>
      <w:r w:rsidRPr="000C0BEB">
        <w:rPr>
          <w:rFonts w:ascii="Arial" w:hAnsi="Arial" w:cs="Arial"/>
          <w:i/>
          <w:iCs/>
          <w:sz w:val="24"/>
          <w:szCs w:val="24"/>
        </w:rPr>
        <w:t>(NOTE: Requires program specific cover sheet to be submitted with request for prior authorization/medical necessity review)</w:t>
      </w:r>
    </w:p>
    <w:p w14:paraId="7D20992E" w14:textId="1DFB13BA" w:rsidR="00BA26B3" w:rsidRPr="000C0BEB" w:rsidRDefault="00BA26B3" w:rsidP="000C0BEB">
      <w:pPr>
        <w:pStyle w:val="ListParagraph"/>
        <w:numPr>
          <w:ilvl w:val="0"/>
          <w:numId w:val="1"/>
        </w:numPr>
        <w:spacing w:after="0" w:line="240" w:lineRule="atLeast"/>
        <w:rPr>
          <w:rFonts w:ascii="Arial" w:hAnsi="Arial" w:cs="Arial"/>
          <w:sz w:val="24"/>
          <w:szCs w:val="24"/>
        </w:rPr>
      </w:pPr>
      <w:r w:rsidRPr="000C0BEB">
        <w:rPr>
          <w:rFonts w:ascii="Arial" w:hAnsi="Arial" w:cs="Arial"/>
          <w:sz w:val="24"/>
          <w:szCs w:val="24"/>
        </w:rPr>
        <w:t xml:space="preserve">Electroconvulsive Therapy (ECT) </w:t>
      </w:r>
      <w:r w:rsidRPr="000C0BEB">
        <w:rPr>
          <w:rFonts w:ascii="Arial" w:hAnsi="Arial" w:cs="Arial"/>
          <w:i/>
          <w:iCs/>
          <w:sz w:val="24"/>
          <w:szCs w:val="24"/>
        </w:rPr>
        <w:t>(NOTE: Requires program specific cover sheet to be submitted with request for prior authorization/medical necessity review)</w:t>
      </w:r>
    </w:p>
    <w:p w14:paraId="2FA06EA5" w14:textId="6800AE03" w:rsidR="00971EF2" w:rsidRPr="000C0BEB" w:rsidRDefault="00971EF2" w:rsidP="000C0BEB">
      <w:pPr>
        <w:pStyle w:val="ListParagraph"/>
        <w:numPr>
          <w:ilvl w:val="0"/>
          <w:numId w:val="1"/>
        </w:numPr>
        <w:spacing w:after="0" w:line="240" w:lineRule="atLeast"/>
        <w:rPr>
          <w:rFonts w:ascii="Arial" w:hAnsi="Arial" w:cs="Arial"/>
          <w:sz w:val="24"/>
          <w:szCs w:val="24"/>
        </w:rPr>
      </w:pPr>
      <w:r w:rsidRPr="000C0BEB">
        <w:rPr>
          <w:rFonts w:ascii="Arial" w:hAnsi="Arial" w:cs="Arial"/>
          <w:sz w:val="24"/>
          <w:szCs w:val="24"/>
        </w:rPr>
        <w:lastRenderedPageBreak/>
        <w:t xml:space="preserve">Transcranial Magnetic Stimulation (TMS) </w:t>
      </w:r>
      <w:bookmarkStart w:id="1" w:name="_Hlk85707347"/>
      <w:r w:rsidRPr="000C0BEB">
        <w:rPr>
          <w:rFonts w:ascii="Arial" w:hAnsi="Arial" w:cs="Arial"/>
          <w:i/>
          <w:iCs/>
          <w:sz w:val="24"/>
          <w:szCs w:val="24"/>
        </w:rPr>
        <w:t>(NOTE: Requires program specific cover sheet to be submitted with request for prior authorization/medical necessity review)</w:t>
      </w:r>
      <w:bookmarkEnd w:id="1"/>
    </w:p>
    <w:p w14:paraId="109332A5" w14:textId="5A3115FF" w:rsidR="00971EF2" w:rsidRPr="000C0BEB" w:rsidRDefault="006477AF" w:rsidP="000C0BEB">
      <w:pPr>
        <w:pStyle w:val="ListParagraph"/>
        <w:numPr>
          <w:ilvl w:val="0"/>
          <w:numId w:val="1"/>
        </w:numPr>
        <w:spacing w:after="0" w:line="240" w:lineRule="atLeast"/>
        <w:rPr>
          <w:rFonts w:ascii="Arial" w:hAnsi="Arial" w:cs="Arial"/>
          <w:sz w:val="24"/>
          <w:szCs w:val="24"/>
        </w:rPr>
      </w:pPr>
      <w:r w:rsidRPr="000C0BEB">
        <w:rPr>
          <w:rFonts w:ascii="Arial" w:hAnsi="Arial" w:cs="Arial"/>
          <w:sz w:val="24"/>
          <w:szCs w:val="24"/>
        </w:rPr>
        <w:t>Wraparound (and other IOSS programs)</w:t>
      </w:r>
    </w:p>
    <w:p w14:paraId="2C8EA4FF" w14:textId="4CBBA232" w:rsidR="006477AF" w:rsidRPr="000845E2" w:rsidRDefault="006477AF" w:rsidP="000845E2">
      <w:pPr>
        <w:pStyle w:val="ListParagraph"/>
        <w:numPr>
          <w:ilvl w:val="0"/>
          <w:numId w:val="1"/>
        </w:numPr>
        <w:spacing w:after="0" w:line="240" w:lineRule="atLeast"/>
        <w:rPr>
          <w:rFonts w:ascii="Arial" w:hAnsi="Arial" w:cs="Arial"/>
          <w:sz w:val="24"/>
          <w:szCs w:val="24"/>
        </w:rPr>
      </w:pPr>
      <w:r w:rsidRPr="000C0BEB">
        <w:rPr>
          <w:rFonts w:ascii="Arial" w:hAnsi="Arial" w:cs="Arial"/>
          <w:sz w:val="24"/>
          <w:szCs w:val="24"/>
        </w:rPr>
        <w:t>Intensive In-home Behavioral Health Treatment (IIBHT)</w:t>
      </w:r>
    </w:p>
    <w:p w14:paraId="3C024C62" w14:textId="0F45A1CE" w:rsidR="006477AF" w:rsidRPr="000C0BEB" w:rsidRDefault="006477AF" w:rsidP="000C0BEB">
      <w:pPr>
        <w:pStyle w:val="ListParagraph"/>
        <w:numPr>
          <w:ilvl w:val="0"/>
          <w:numId w:val="1"/>
        </w:numPr>
        <w:spacing w:after="0" w:line="240" w:lineRule="atLeast"/>
        <w:rPr>
          <w:rFonts w:ascii="Arial" w:hAnsi="Arial" w:cs="Arial"/>
          <w:sz w:val="24"/>
          <w:szCs w:val="24"/>
        </w:rPr>
      </w:pPr>
      <w:r w:rsidRPr="000C0BEB">
        <w:rPr>
          <w:rFonts w:ascii="Arial" w:hAnsi="Arial" w:cs="Arial"/>
          <w:sz w:val="24"/>
          <w:szCs w:val="24"/>
        </w:rPr>
        <w:t>Psychological/Neuropsychological Testing</w:t>
      </w:r>
    </w:p>
    <w:p w14:paraId="55333B35" w14:textId="77777777" w:rsidR="00EB18B7" w:rsidRDefault="00EB18B7" w:rsidP="00003F1F">
      <w:pPr>
        <w:spacing w:after="0" w:line="240" w:lineRule="atLeast"/>
        <w:rPr>
          <w:rFonts w:ascii="Arial" w:hAnsi="Arial" w:cs="Arial"/>
          <w:sz w:val="24"/>
          <w:szCs w:val="24"/>
        </w:rPr>
      </w:pPr>
    </w:p>
    <w:p w14:paraId="449C4988" w14:textId="1BD7A12B" w:rsidR="00003F1F" w:rsidRDefault="00003F1F" w:rsidP="00003F1F">
      <w:pPr>
        <w:spacing w:after="0" w:line="240" w:lineRule="atLeast"/>
        <w:rPr>
          <w:rFonts w:ascii="Arial" w:hAnsi="Arial" w:cs="Arial"/>
          <w:sz w:val="24"/>
          <w:szCs w:val="24"/>
        </w:rPr>
      </w:pPr>
      <w:r>
        <w:rPr>
          <w:rFonts w:ascii="Arial" w:hAnsi="Arial" w:cs="Arial"/>
          <w:sz w:val="24"/>
          <w:szCs w:val="24"/>
        </w:rPr>
        <w:t>Please Note:</w:t>
      </w:r>
    </w:p>
    <w:p w14:paraId="17883350" w14:textId="7A3E56FE" w:rsidR="00003F1F" w:rsidRPr="000C0BEB" w:rsidRDefault="00003F1F" w:rsidP="000C0BEB">
      <w:pPr>
        <w:pStyle w:val="ListParagraph"/>
        <w:numPr>
          <w:ilvl w:val="0"/>
          <w:numId w:val="5"/>
        </w:numPr>
        <w:spacing w:after="0" w:line="240" w:lineRule="atLeast"/>
        <w:rPr>
          <w:rFonts w:ascii="Arial" w:hAnsi="Arial" w:cs="Arial"/>
          <w:sz w:val="24"/>
          <w:szCs w:val="24"/>
        </w:rPr>
      </w:pPr>
      <w:r w:rsidRPr="000C0BEB">
        <w:rPr>
          <w:rFonts w:ascii="Arial" w:hAnsi="Arial" w:cs="Arial"/>
          <w:sz w:val="24"/>
          <w:szCs w:val="24"/>
        </w:rPr>
        <w:t>Some organization’s prior authorization/medical necessity review requirements may vary based on the specifics of their contract with YCCO.</w:t>
      </w:r>
    </w:p>
    <w:p w14:paraId="08157D6C" w14:textId="77777777" w:rsidR="00003F1F" w:rsidRPr="000C0BEB" w:rsidRDefault="00003F1F" w:rsidP="000C0BEB">
      <w:pPr>
        <w:pStyle w:val="ListParagraph"/>
        <w:numPr>
          <w:ilvl w:val="0"/>
          <w:numId w:val="5"/>
        </w:numPr>
        <w:spacing w:after="0" w:line="240" w:lineRule="atLeast"/>
        <w:rPr>
          <w:rFonts w:ascii="Arial" w:hAnsi="Arial" w:cs="Arial"/>
          <w:sz w:val="24"/>
          <w:szCs w:val="24"/>
        </w:rPr>
      </w:pPr>
      <w:r w:rsidRPr="000C0BEB">
        <w:rPr>
          <w:rFonts w:ascii="Arial" w:hAnsi="Arial" w:cs="Arial"/>
          <w:sz w:val="24"/>
          <w:szCs w:val="24"/>
        </w:rPr>
        <w:t>Prior authorization is determined by program/treatment type rather than by billing codes. Some billing codes are program specific and as a result align with the programmatic prior authorization/medical necessity review requirements. Other codes may be billed across a variety of program types and as such will vary as to whether they require prior authorization/medical necessity review as part of a program type.</w:t>
      </w:r>
    </w:p>
    <w:p w14:paraId="1B5FCFC1" w14:textId="77777777" w:rsidR="00003F1F" w:rsidRDefault="00003F1F" w:rsidP="003262BF">
      <w:pPr>
        <w:spacing w:after="0" w:line="240" w:lineRule="atLeast"/>
        <w:rPr>
          <w:rFonts w:ascii="Arial" w:hAnsi="Arial" w:cs="Arial"/>
          <w:b/>
          <w:bCs/>
          <w:sz w:val="24"/>
          <w:szCs w:val="24"/>
        </w:rPr>
      </w:pPr>
    </w:p>
    <w:p w14:paraId="5BEDAA4C" w14:textId="5E12824A" w:rsidR="003262BF" w:rsidRPr="00A17261" w:rsidRDefault="003262BF" w:rsidP="003262BF">
      <w:pPr>
        <w:spacing w:after="0" w:line="240" w:lineRule="atLeast"/>
        <w:rPr>
          <w:rFonts w:ascii="Arial" w:hAnsi="Arial" w:cs="Arial"/>
          <w:b/>
          <w:bCs/>
          <w:sz w:val="24"/>
          <w:szCs w:val="24"/>
        </w:rPr>
      </w:pPr>
      <w:r w:rsidRPr="00A17261">
        <w:rPr>
          <w:rFonts w:ascii="Arial" w:hAnsi="Arial" w:cs="Arial"/>
          <w:b/>
          <w:bCs/>
          <w:sz w:val="24"/>
          <w:szCs w:val="24"/>
        </w:rPr>
        <w:t>Out-of-network/non-participating” providers</w:t>
      </w:r>
      <w:r w:rsidR="000845E2">
        <w:rPr>
          <w:rFonts w:ascii="Arial" w:hAnsi="Arial" w:cs="Arial"/>
          <w:b/>
          <w:bCs/>
          <w:sz w:val="24"/>
          <w:szCs w:val="24"/>
        </w:rPr>
        <w:t>:</w:t>
      </w:r>
      <w:r w:rsidRPr="00A17261">
        <w:rPr>
          <w:rFonts w:ascii="Arial" w:hAnsi="Arial" w:cs="Arial"/>
          <w:b/>
          <w:bCs/>
          <w:sz w:val="24"/>
          <w:szCs w:val="24"/>
        </w:rPr>
        <w:t xml:space="preserve"> </w:t>
      </w:r>
      <w:r w:rsidR="000845E2">
        <w:rPr>
          <w:rFonts w:ascii="Arial" w:hAnsi="Arial" w:cs="Arial"/>
          <w:b/>
          <w:bCs/>
          <w:sz w:val="24"/>
          <w:szCs w:val="24"/>
        </w:rPr>
        <w:t>A</w:t>
      </w:r>
      <w:r w:rsidR="000845E2" w:rsidRPr="00A17261">
        <w:rPr>
          <w:rFonts w:ascii="Arial" w:hAnsi="Arial" w:cs="Arial"/>
          <w:b/>
          <w:bCs/>
          <w:sz w:val="24"/>
          <w:szCs w:val="24"/>
        </w:rPr>
        <w:t xml:space="preserve">ll </w:t>
      </w:r>
      <w:r w:rsidRPr="00A17261">
        <w:rPr>
          <w:rFonts w:ascii="Arial" w:hAnsi="Arial" w:cs="Arial"/>
          <w:b/>
          <w:bCs/>
          <w:sz w:val="24"/>
          <w:szCs w:val="24"/>
        </w:rPr>
        <w:t xml:space="preserve">services, with the exception </w:t>
      </w:r>
      <w:r w:rsidR="00EB18B7">
        <w:rPr>
          <w:rFonts w:ascii="Arial" w:hAnsi="Arial" w:cs="Arial"/>
          <w:b/>
          <w:bCs/>
          <w:sz w:val="24"/>
          <w:szCs w:val="24"/>
        </w:rPr>
        <w:t>o</w:t>
      </w:r>
      <w:r w:rsidRPr="00A17261">
        <w:rPr>
          <w:rFonts w:ascii="Arial" w:hAnsi="Arial" w:cs="Arial"/>
          <w:b/>
          <w:bCs/>
          <w:sz w:val="24"/>
          <w:szCs w:val="24"/>
        </w:rPr>
        <w:t xml:space="preserve">f crisis services, must be prior authorized. </w:t>
      </w:r>
    </w:p>
    <w:p w14:paraId="62D68D0A" w14:textId="08196C63" w:rsidR="003262BF" w:rsidRDefault="003262BF" w:rsidP="003262BF">
      <w:pPr>
        <w:rPr>
          <w:rFonts w:ascii="Arial" w:hAnsi="Arial" w:cs="Arial"/>
          <w:sz w:val="24"/>
          <w:szCs w:val="24"/>
        </w:rPr>
      </w:pPr>
    </w:p>
    <w:p w14:paraId="525FD1BA" w14:textId="28FA2E39" w:rsidR="00870F86" w:rsidRDefault="00870F86" w:rsidP="003262BF">
      <w:pPr>
        <w:rPr>
          <w:rFonts w:ascii="Arial" w:hAnsi="Arial" w:cs="Arial"/>
          <w:sz w:val="28"/>
          <w:szCs w:val="28"/>
        </w:rPr>
      </w:pPr>
      <w:r w:rsidRPr="000C0BEB">
        <w:rPr>
          <w:rFonts w:ascii="Arial" w:hAnsi="Arial" w:cs="Arial"/>
          <w:sz w:val="28"/>
          <w:szCs w:val="28"/>
        </w:rPr>
        <w:t>YCCO Prior Authorization Grid is the official document for determining prior authorization requirements. (Attached)</w:t>
      </w:r>
    </w:p>
    <w:bookmarkEnd w:id="0"/>
    <w:p w14:paraId="20CC04F8" w14:textId="4DE763C7" w:rsidR="00D80FC8" w:rsidRDefault="00D80FC8" w:rsidP="003262BF">
      <w:pPr>
        <w:rPr>
          <w:rFonts w:ascii="Arial" w:hAnsi="Arial" w:cs="Arial"/>
          <w:sz w:val="28"/>
          <w:szCs w:val="28"/>
        </w:rPr>
      </w:pPr>
    </w:p>
    <w:p w14:paraId="40EBA049" w14:textId="77777777" w:rsidR="00D80FC8" w:rsidRPr="000C0BEB" w:rsidRDefault="00D80FC8" w:rsidP="000C0BEB">
      <w:pPr>
        <w:rPr>
          <w:rFonts w:ascii="Arial" w:hAnsi="Arial" w:cs="Arial"/>
          <w:sz w:val="28"/>
          <w:szCs w:val="28"/>
        </w:rPr>
      </w:pPr>
    </w:p>
    <w:sectPr w:rsidR="00D80FC8" w:rsidRPr="000C0BEB" w:rsidSect="00C21B0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B1177" w14:textId="77777777" w:rsidR="00BC6BDE" w:rsidRDefault="00BC6BDE" w:rsidP="00EB18B7">
      <w:pPr>
        <w:spacing w:after="0" w:line="240" w:lineRule="auto"/>
      </w:pPr>
      <w:r>
        <w:separator/>
      </w:r>
    </w:p>
  </w:endnote>
  <w:endnote w:type="continuationSeparator" w:id="0">
    <w:p w14:paraId="04F62DF2" w14:textId="77777777" w:rsidR="00BC6BDE" w:rsidRDefault="00BC6BDE" w:rsidP="00EB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144F0" w14:textId="77777777" w:rsidR="00BC6BDE" w:rsidRDefault="00BC6BDE" w:rsidP="00EB18B7">
      <w:pPr>
        <w:spacing w:after="0" w:line="240" w:lineRule="auto"/>
      </w:pPr>
      <w:r>
        <w:separator/>
      </w:r>
    </w:p>
  </w:footnote>
  <w:footnote w:type="continuationSeparator" w:id="0">
    <w:p w14:paraId="6839F55A" w14:textId="77777777" w:rsidR="00BC6BDE" w:rsidRDefault="00BC6BDE" w:rsidP="00EB1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98AE" w14:textId="60F71A21" w:rsidR="00EB18B7" w:rsidRDefault="00EB18B7">
    <w:pPr>
      <w:pStyle w:val="Header"/>
    </w:pPr>
    <w:r>
      <w:tab/>
    </w:r>
    <w:r>
      <w:tab/>
    </w:r>
    <w:r>
      <w:rPr>
        <w:noProof/>
      </w:rPr>
      <w:drawing>
        <wp:inline distT="0" distB="0" distL="0" distR="0" wp14:anchorId="35AD0D0F" wp14:editId="07336D32">
          <wp:extent cx="1800225" cy="9339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678" cy="93729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56654"/>
    <w:multiLevelType w:val="hybridMultilevel"/>
    <w:tmpl w:val="0328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256F6"/>
    <w:multiLevelType w:val="multilevel"/>
    <w:tmpl w:val="A6B2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685058"/>
    <w:multiLevelType w:val="hybridMultilevel"/>
    <w:tmpl w:val="E674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C917B6"/>
    <w:multiLevelType w:val="hybridMultilevel"/>
    <w:tmpl w:val="BAF4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614FC5"/>
    <w:multiLevelType w:val="multilevel"/>
    <w:tmpl w:val="DFA8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39D"/>
    <w:rsid w:val="00003F1F"/>
    <w:rsid w:val="00010FB5"/>
    <w:rsid w:val="00023CC9"/>
    <w:rsid w:val="000845E2"/>
    <w:rsid w:val="000C0BEB"/>
    <w:rsid w:val="00196A07"/>
    <w:rsid w:val="001E0C4F"/>
    <w:rsid w:val="002127AF"/>
    <w:rsid w:val="002D339D"/>
    <w:rsid w:val="003262BF"/>
    <w:rsid w:val="004907D1"/>
    <w:rsid w:val="00503D1C"/>
    <w:rsid w:val="00592058"/>
    <w:rsid w:val="00646599"/>
    <w:rsid w:val="006477AF"/>
    <w:rsid w:val="00684C55"/>
    <w:rsid w:val="00736318"/>
    <w:rsid w:val="007B4560"/>
    <w:rsid w:val="00870F86"/>
    <w:rsid w:val="00971EF2"/>
    <w:rsid w:val="00A35821"/>
    <w:rsid w:val="00BA26B3"/>
    <w:rsid w:val="00BC6BDE"/>
    <w:rsid w:val="00C21B0A"/>
    <w:rsid w:val="00C52F9A"/>
    <w:rsid w:val="00CC78D5"/>
    <w:rsid w:val="00D80FC8"/>
    <w:rsid w:val="00DC56D2"/>
    <w:rsid w:val="00EB1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D9B96"/>
  <w15:chartTrackingRefBased/>
  <w15:docId w15:val="{5B462D58-2BC8-447E-AB56-87DAC80A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39D"/>
    <w:pPr>
      <w:ind w:left="720"/>
      <w:contextualSpacing/>
    </w:pPr>
  </w:style>
  <w:style w:type="paragraph" w:customStyle="1" w:styleId="paragraph">
    <w:name w:val="paragraph"/>
    <w:basedOn w:val="Normal"/>
    <w:rsid w:val="00684C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84C55"/>
  </w:style>
  <w:style w:type="character" w:customStyle="1" w:styleId="eop">
    <w:name w:val="eop"/>
    <w:basedOn w:val="DefaultParagraphFont"/>
    <w:rsid w:val="00684C55"/>
  </w:style>
  <w:style w:type="character" w:styleId="Hyperlink">
    <w:name w:val="Hyperlink"/>
    <w:basedOn w:val="DefaultParagraphFont"/>
    <w:uiPriority w:val="99"/>
    <w:unhideWhenUsed/>
    <w:rsid w:val="003262BF"/>
    <w:rPr>
      <w:color w:val="0563C1" w:themeColor="hyperlink"/>
      <w:u w:val="single"/>
    </w:rPr>
  </w:style>
  <w:style w:type="character" w:styleId="UnresolvedMention">
    <w:name w:val="Unresolved Mention"/>
    <w:basedOn w:val="DefaultParagraphFont"/>
    <w:uiPriority w:val="99"/>
    <w:semiHidden/>
    <w:unhideWhenUsed/>
    <w:rsid w:val="003262BF"/>
    <w:rPr>
      <w:color w:val="605E5C"/>
      <w:shd w:val="clear" w:color="auto" w:fill="E1DFDD"/>
    </w:rPr>
  </w:style>
  <w:style w:type="paragraph" w:styleId="Header">
    <w:name w:val="header"/>
    <w:basedOn w:val="Normal"/>
    <w:link w:val="HeaderChar"/>
    <w:uiPriority w:val="99"/>
    <w:unhideWhenUsed/>
    <w:rsid w:val="00EB1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8B7"/>
  </w:style>
  <w:style w:type="paragraph" w:styleId="Footer">
    <w:name w:val="footer"/>
    <w:basedOn w:val="Normal"/>
    <w:link w:val="FooterChar"/>
    <w:uiPriority w:val="99"/>
    <w:unhideWhenUsed/>
    <w:rsid w:val="00EB1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900497">
      <w:bodyDiv w:val="1"/>
      <w:marLeft w:val="0"/>
      <w:marRight w:val="0"/>
      <w:marTop w:val="0"/>
      <w:marBottom w:val="0"/>
      <w:divBdr>
        <w:top w:val="none" w:sz="0" w:space="0" w:color="auto"/>
        <w:left w:val="none" w:sz="0" w:space="0" w:color="auto"/>
        <w:bottom w:val="none" w:sz="0" w:space="0" w:color="auto"/>
        <w:right w:val="none" w:sz="0" w:space="0" w:color="auto"/>
      </w:divBdr>
      <w:divsChild>
        <w:div w:id="495803111">
          <w:marLeft w:val="0"/>
          <w:marRight w:val="0"/>
          <w:marTop w:val="0"/>
          <w:marBottom w:val="0"/>
          <w:divBdr>
            <w:top w:val="none" w:sz="0" w:space="0" w:color="auto"/>
            <w:left w:val="none" w:sz="0" w:space="0" w:color="auto"/>
            <w:bottom w:val="none" w:sz="0" w:space="0" w:color="auto"/>
            <w:right w:val="none" w:sz="0" w:space="0" w:color="auto"/>
          </w:divBdr>
        </w:div>
        <w:div w:id="144319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amhillcco.org/wp-content/uploads/BH-Provider-FAQ-with-YCCO-contract_10.08.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 Carr, LCSW, CCEP</dc:creator>
  <cp:keywords/>
  <dc:description/>
  <cp:lastModifiedBy>Jill Roe</cp:lastModifiedBy>
  <cp:revision>2</cp:revision>
  <dcterms:created xsi:type="dcterms:W3CDTF">2021-11-04T00:08:00Z</dcterms:created>
  <dcterms:modified xsi:type="dcterms:W3CDTF">2021-11-04T00:08:00Z</dcterms:modified>
</cp:coreProperties>
</file>